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21"/>
      </w:tblGrid>
      <w:tr>
        <w:tblPrEx/>
        <w:trPr>
          <w:cantSplit/>
          <w:jc w:val="center"/>
          <w:trHeight w:val="34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221" w:type="dxa"/>
            <w:textDirection w:val="lrTb"/>
            <w:noWrap w:val="false"/>
          </w:tcPr>
          <w:p>
            <w:pPr>
              <w:pStyle w:val="764"/>
              <w:ind w:right="-55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62"/>
              <w:ind w:right="-55"/>
              <w:spacing w:before="12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ВЫПИСКА ИЗ ПРОТОКОЛА</w:t>
            </w:r>
            <w:r>
              <w:rPr>
                <w:sz w:val="28"/>
                <w:lang w:val="ru-RU"/>
              </w:rPr>
            </w:r>
          </w:p>
        </w:tc>
      </w:tr>
      <w:tr>
        <w:tblPrEx/>
        <w:trPr>
          <w:cantSplit/>
          <w:jc w:val="center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221" w:type="dxa"/>
            <w:textDirection w:val="lrTb"/>
            <w:noWrap w:val="false"/>
          </w:tcPr>
          <w:p>
            <w:pPr>
              <w:pStyle w:val="764"/>
              <w:ind w:right="-55"/>
            </w:pPr>
            <w:r/>
            <w:r/>
          </w:p>
        </w:tc>
      </w:tr>
      <w:tr>
        <w:tblPrEx/>
        <w:trPr>
          <w:cantSplit/>
          <w:jc w:val="center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221" w:type="dxa"/>
            <w:textDirection w:val="lrTb"/>
            <w:noWrap w:val="false"/>
          </w:tcPr>
          <w:p>
            <w:pPr>
              <w:ind w:right="-5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заседания комиссии по соблюдению требований к служебному поведению федеральных государственных гражданских служащих </w:t>
            </w:r>
            <w:r>
              <w:rPr>
                <w:b/>
                <w:sz w:val="28"/>
                <w:szCs w:val="28"/>
              </w:rPr>
              <w:br w:type="textWrapping" w:clear="all"/>
              <w:t xml:space="preserve">Межрегионального операционного управления Федерального казначейства </w:t>
            </w:r>
            <w:r>
              <w:rPr>
                <w:b/>
                <w:sz w:val="28"/>
                <w:szCs w:val="28"/>
              </w:rPr>
              <w:br w:type="textWrapping" w:clear="all"/>
              <w:t xml:space="preserve">и урегулированию конфликта интересов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cantSplit/>
          <w:jc w:val="center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221" w:type="dxa"/>
            <w:textDirection w:val="lrTb"/>
            <w:noWrap w:val="false"/>
          </w:tcPr>
          <w:p>
            <w:pPr>
              <w:pStyle w:val="764"/>
              <w:ind w:right="-55"/>
              <w:spacing w:line="240" w:lineRule="auto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</w:r>
            <w:r>
              <w:rPr>
                <w:b w:val="0"/>
                <w:bCs/>
                <w:sz w:val="28"/>
                <w:szCs w:val="28"/>
              </w:rPr>
            </w:r>
          </w:p>
          <w:p>
            <w:pPr>
              <w:ind w:right="-55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от «</w:t>
            </w:r>
            <w:r>
              <w:rPr>
                <w:bCs/>
                <w:sz w:val="28"/>
                <w:lang w:val="en-US"/>
              </w:rPr>
              <w:t xml:space="preserve">30</w:t>
            </w:r>
            <w:r>
              <w:rPr>
                <w:bCs/>
                <w:sz w:val="28"/>
              </w:rPr>
              <w:t xml:space="preserve">» декабря 20</w:t>
            </w:r>
            <w:r>
              <w:rPr>
                <w:bCs/>
                <w:sz w:val="28"/>
                <w:lang w:val="en-US"/>
              </w:rPr>
              <w:t xml:space="preserve">25</w:t>
            </w:r>
            <w:r>
              <w:rPr>
                <w:bCs/>
                <w:sz w:val="28"/>
              </w:rPr>
              <w:t xml:space="preserve"> г.                                                                                               № 1</w:t>
            </w:r>
            <w:r>
              <w:rPr>
                <w:bCs/>
                <w:sz w:val="28"/>
              </w:rPr>
            </w:r>
          </w:p>
          <w:p>
            <w:pPr>
              <w:ind w:right="-55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</w:r>
            <w:r>
              <w:rPr>
                <w:bCs/>
                <w:sz w:val="28"/>
              </w:rPr>
            </w:r>
          </w:p>
        </w:tc>
      </w:tr>
    </w:tbl>
    <w:p>
      <w:pPr>
        <w:pStyle w:val="943"/>
        <w:ind w:right="-55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Межрегиональном операционном управлении Федерального казначейства </w:t>
      </w:r>
      <w:r>
        <w:rPr>
          <w:sz w:val="28"/>
          <w:szCs w:val="28"/>
          <w:lang w:val="ru-RU"/>
        </w:rPr>
        <w:br w:type="textWrapping" w:clear="all"/>
      </w:r>
      <w:r>
        <w:rPr>
          <w:sz w:val="28"/>
          <w:szCs w:val="28"/>
          <w:lang w:val="ru-RU"/>
        </w:rPr>
        <w:t xml:space="preserve">30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декабря</w:t>
      </w:r>
      <w:r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 xml:space="preserve">25</w:t>
      </w:r>
      <w:r>
        <w:rPr>
          <w:sz w:val="28"/>
          <w:szCs w:val="28"/>
          <w:lang w:val="ru-RU"/>
        </w:rPr>
        <w:t xml:space="preserve"> года состоялось заседание Комиссии по соблюдению требований</w:t>
      </w:r>
      <w:r>
        <w:rPr>
          <w:sz w:val="28"/>
          <w:szCs w:val="28"/>
          <w:lang w:val="ru-RU"/>
        </w:rPr>
        <w:br/>
        <w:t xml:space="preserve">к служебному поведению федеральных государственных гражданских служащих Межрегионального операционного управления Федерального казначейства</w:t>
      </w:r>
      <w:r>
        <w:rPr>
          <w:sz w:val="28"/>
          <w:szCs w:val="28"/>
          <w:lang w:val="ru-RU"/>
        </w:rPr>
        <w:br/>
        <w:t xml:space="preserve">и урегулированию конфликта интересов (далее - Комиссия).</w:t>
      </w:r>
      <w:r>
        <w:rPr>
          <w:sz w:val="28"/>
          <w:szCs w:val="28"/>
          <w:lang w:val="ru-RU"/>
        </w:rPr>
      </w:r>
    </w:p>
    <w:p>
      <w:pPr>
        <w:pStyle w:val="943"/>
        <w:ind w:right="-55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Повестка:</w:t>
      </w:r>
      <w:r>
        <w:rPr>
          <w:sz w:val="28"/>
          <w:szCs w:val="28"/>
          <w:lang w:val="ru-RU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Рассмотрение вопроса в соответствии с </w:t>
      </w:r>
      <w:r>
        <w:rPr>
          <w:sz w:val="28"/>
          <w:szCs w:val="28"/>
        </w:rPr>
        <w:t xml:space="preserve">п.п. «в» п. 14 Порядка формирования </w:t>
      </w:r>
      <w:r>
        <w:rPr>
          <w:sz w:val="28"/>
          <w:szCs w:val="28"/>
        </w:rPr>
        <w:br w:type="textWrapping" w:clear="all"/>
        <w:t xml:space="preserve">и деятельности комиссии территориального органа Федерального казначейства </w:t>
      </w:r>
      <w:r>
        <w:rPr>
          <w:sz w:val="28"/>
          <w:szCs w:val="28"/>
        </w:rPr>
        <w:br w:type="textWrapping" w:clear="all"/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</w:t>
      </w:r>
      <w:r>
        <w:rPr>
          <w:sz w:val="28"/>
          <w:szCs w:val="28"/>
        </w:rPr>
        <w:t xml:space="preserve">ого казначейства от 19 февраля 2015 г. № 4н,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</w:t>
      </w:r>
      <w:r>
        <w:rPr>
          <w:sz w:val="28"/>
          <w:szCs w:val="28"/>
        </w:rPr>
        <w:t xml:space="preserve"> об урегулировании конфликта интересов либо осуществления в территориальном органе Федерального казначейства мер по предупреждению коррупции.</w:t>
      </w:r>
      <w:r>
        <w:rPr>
          <w:sz w:val="28"/>
          <w:szCs w:val="28"/>
        </w:rPr>
      </w:r>
    </w:p>
    <w:p>
      <w:pPr>
        <w:pStyle w:val="955"/>
        <w:ind w:right="-55"/>
        <w:jc w:val="both"/>
        <w:tabs>
          <w:tab w:val="left" w:pos="0" w:leader="none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Cs/>
          <w:sz w:val="28"/>
        </w:rPr>
        <w:t xml:space="preserve">По итогам заседания Комиссией принято следующее решение: </w:t>
      </w:r>
      <w:r>
        <w:rPr>
          <w:rFonts w:ascii="Times New Roman" w:hAnsi="Times New Roman" w:cs="Times New Roman"/>
          <w:sz w:val="28"/>
          <w:szCs w:val="28"/>
          <w:lang w:eastAsia="en-US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замещение должностей государственной гражданской службы</w:t>
      </w:r>
      <w:r>
        <w:rPr>
          <w:sz w:val="28"/>
          <w:szCs w:val="28"/>
        </w:rPr>
        <w:br w:type="textWrapping" w:clear="all"/>
        <w:t xml:space="preserve">в Межрегиональном операционном УФК между государственными гражданскими служащими не связано с непосредственной подчиненностью или подконтрольностью одного из них другому. Ограничения, связанные с прохождением гражданской службы соблюдены. </w:t>
      </w:r>
      <w:bookmarkStart w:id="0" w:name="_GoBack"/>
      <w:r/>
      <w:bookmarkEnd w:id="0"/>
      <w:r/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возникновения личной заинтересованности при исполнении должностных обязанностей, которая приводит или может привести к конфликту интересов, отсутствует.</w:t>
      </w:r>
      <w:r>
        <w:rPr>
          <w:sz w:val="28"/>
          <w:szCs w:val="28"/>
        </w:rPr>
      </w:r>
    </w:p>
    <w:p>
      <w:pPr>
        <w:pStyle w:val="955"/>
        <w:ind w:right="-55"/>
        <w:jc w:val="both"/>
        <w:tabs>
          <w:tab w:val="left" w:pos="0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993" w:right="567" w:bottom="709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3"/>
      <w:rPr>
        <w:rStyle w:val="944"/>
      </w:rPr>
      <w:framePr w:wrap="around" w:vAnchor="text" w:hAnchor="margin" w:xAlign="center" w:y="1"/>
    </w:pPr>
    <w:r>
      <w:rPr>
        <w:rStyle w:val="944"/>
      </w:rPr>
      <w:fldChar w:fldCharType="begin"/>
    </w:r>
    <w:r>
      <w:rPr>
        <w:rStyle w:val="944"/>
      </w:rPr>
      <w:instrText xml:space="preserve">PAGE  </w:instrText>
    </w:r>
    <w:r>
      <w:rPr>
        <w:rStyle w:val="944"/>
      </w:rPr>
      <w:fldChar w:fldCharType="separate"/>
    </w:r>
    <w:r>
      <w:rPr>
        <w:rStyle w:val="944"/>
      </w:rPr>
      <w:t xml:space="preserve">2</w:t>
    </w:r>
    <w:r>
      <w:rPr>
        <w:rStyle w:val="944"/>
      </w:rPr>
      <w:fldChar w:fldCharType="end"/>
    </w:r>
    <w:r>
      <w:rPr>
        <w:rStyle w:val="944"/>
      </w:rPr>
    </w:r>
  </w:p>
  <w:p>
    <w:pPr>
      <w:pStyle w:val="7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3"/>
      <w:rPr>
        <w:rStyle w:val="944"/>
      </w:rPr>
      <w:framePr w:wrap="around" w:vAnchor="text" w:hAnchor="margin" w:xAlign="center" w:y="1"/>
    </w:pPr>
    <w:r>
      <w:rPr>
        <w:rStyle w:val="944"/>
      </w:rPr>
      <w:fldChar w:fldCharType="begin"/>
    </w:r>
    <w:r>
      <w:rPr>
        <w:rStyle w:val="944"/>
      </w:rPr>
      <w:instrText xml:space="preserve">PAGE  </w:instrText>
    </w:r>
    <w:r>
      <w:rPr>
        <w:rStyle w:val="944"/>
      </w:rPr>
      <w:fldChar w:fldCharType="end"/>
    </w:r>
    <w:r>
      <w:rPr>
        <w:rStyle w:val="944"/>
      </w:rPr>
    </w:r>
  </w:p>
  <w:p>
    <w:pPr>
      <w:pStyle w:val="7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eastAsia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color w:val="ff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4" w:hanging="1065"/>
      </w:pPr>
      <w:rPr>
        <w:color w:val="ff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75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505" w:hanging="360"/>
        <w:tabs>
          <w:tab w:val="num" w:pos="250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3225" w:hanging="360"/>
        <w:tabs>
          <w:tab w:val="num" w:pos="322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945" w:hanging="180"/>
        <w:tabs>
          <w:tab w:val="num" w:pos="394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4665" w:hanging="360"/>
        <w:tabs>
          <w:tab w:val="num" w:pos="466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5385" w:hanging="360"/>
        <w:tabs>
          <w:tab w:val="num" w:pos="538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6105" w:hanging="180"/>
        <w:tabs>
          <w:tab w:val="num" w:pos="610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825" w:hanging="360"/>
        <w:tabs>
          <w:tab w:val="num" w:pos="682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7545" w:hanging="360"/>
        <w:tabs>
          <w:tab w:val="num" w:pos="754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8265" w:hanging="180"/>
        <w:tabs>
          <w:tab w:val="num" w:pos="8265" w:leader="none"/>
        </w:tabs>
      </w:pPr>
    </w:lvl>
  </w:abstractNum>
  <w:num w:numId="1">
    <w:abstractNumId w:val="35"/>
  </w:num>
  <w:num w:numId="2">
    <w:abstractNumId w:val="36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16"/>
  </w:num>
  <w:num w:numId="8">
    <w:abstractNumId w:val="7"/>
  </w:num>
  <w:num w:numId="9">
    <w:abstractNumId w:val="34"/>
  </w:num>
  <w:num w:numId="10">
    <w:abstractNumId w:val="15"/>
  </w:num>
  <w:num w:numId="11">
    <w:abstractNumId w:val="31"/>
  </w:num>
  <w:num w:numId="12">
    <w:abstractNumId w:val="28"/>
  </w:num>
  <w:num w:numId="13">
    <w:abstractNumId w:val="29"/>
  </w:num>
  <w:num w:numId="14">
    <w:abstractNumId w:val="24"/>
  </w:num>
  <w:num w:numId="15">
    <w:abstractNumId w:val="11"/>
  </w:num>
  <w:num w:numId="16">
    <w:abstractNumId w:val="4"/>
  </w:num>
  <w:num w:numId="17">
    <w:abstractNumId w:val="5"/>
  </w:num>
  <w:num w:numId="18">
    <w:abstractNumId w:val="21"/>
  </w:num>
  <w:num w:numId="19">
    <w:abstractNumId w:val="22"/>
  </w:num>
  <w:num w:numId="20">
    <w:abstractNumId w:val="19"/>
  </w:num>
  <w:num w:numId="21">
    <w:abstractNumId w:val="1"/>
  </w:num>
  <w:num w:numId="22">
    <w:abstractNumId w:val="23"/>
  </w:num>
  <w:num w:numId="23">
    <w:abstractNumId w:val="13"/>
  </w:num>
  <w:num w:numId="24">
    <w:abstractNumId w:val="25"/>
  </w:num>
  <w:num w:numId="25">
    <w:abstractNumId w:val="8"/>
  </w:num>
  <w:num w:numId="26">
    <w:abstractNumId w:val="18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0"/>
  </w:num>
  <w:num w:numId="30">
    <w:abstractNumId w:val="32"/>
  </w:num>
  <w:num w:numId="31">
    <w:abstractNumId w:val="20"/>
  </w:num>
  <w:num w:numId="32">
    <w:abstractNumId w:val="12"/>
  </w:num>
  <w:num w:numId="33">
    <w:abstractNumId w:val="6"/>
  </w:num>
  <w:num w:numId="34">
    <w:abstractNumId w:val="27"/>
  </w:num>
  <w:num w:numId="35">
    <w:abstractNumId w:val="30"/>
  </w:num>
  <w:num w:numId="36">
    <w:abstractNumId w:val="26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771"/>
    <w:link w:val="763"/>
    <w:uiPriority w:val="9"/>
    <w:rPr>
      <w:rFonts w:ascii="Arial" w:hAnsi="Arial" w:eastAsia="Arial" w:cs="Arial"/>
      <w:sz w:val="34"/>
    </w:rPr>
  </w:style>
  <w:style w:type="character" w:styleId="20">
    <w:name w:val="Heading 4 Char"/>
    <w:basedOn w:val="771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71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71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71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71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71"/>
    <w:link w:val="77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71"/>
    <w:link w:val="785"/>
    <w:uiPriority w:val="10"/>
    <w:rPr>
      <w:sz w:val="48"/>
      <w:szCs w:val="48"/>
    </w:rPr>
  </w:style>
  <w:style w:type="character" w:styleId="37">
    <w:name w:val="Subtitle Char"/>
    <w:basedOn w:val="771"/>
    <w:link w:val="787"/>
    <w:uiPriority w:val="11"/>
    <w:rPr>
      <w:sz w:val="24"/>
      <w:szCs w:val="24"/>
    </w:rPr>
  </w:style>
  <w:style w:type="character" w:styleId="39">
    <w:name w:val="Quote Char"/>
    <w:link w:val="789"/>
    <w:uiPriority w:val="29"/>
    <w:rPr>
      <w:i/>
    </w:rPr>
  </w:style>
  <w:style w:type="character" w:styleId="41">
    <w:name w:val="Intense Quote Char"/>
    <w:link w:val="791"/>
    <w:uiPriority w:val="30"/>
    <w:rPr>
      <w:i/>
    </w:rPr>
  </w:style>
  <w:style w:type="character" w:styleId="43">
    <w:name w:val="Header Char"/>
    <w:basedOn w:val="771"/>
    <w:link w:val="793"/>
    <w:uiPriority w:val="99"/>
  </w:style>
  <w:style w:type="character" w:styleId="176">
    <w:name w:val="Footnote Text Char"/>
    <w:link w:val="926"/>
    <w:uiPriority w:val="99"/>
    <w:rPr>
      <w:sz w:val="18"/>
    </w:rPr>
  </w:style>
  <w:style w:type="character" w:styleId="179">
    <w:name w:val="Endnote Text Char"/>
    <w:link w:val="929"/>
    <w:uiPriority w:val="99"/>
    <w:rPr>
      <w:sz w:val="20"/>
    </w:rPr>
  </w:style>
  <w:style w:type="paragraph" w:styleId="761" w:default="1">
    <w:name w:val="Normal"/>
    <w:qFormat/>
    <w:rPr>
      <w:sz w:val="24"/>
      <w:szCs w:val="24"/>
      <w:lang w:eastAsia="ru-RU"/>
    </w:rPr>
  </w:style>
  <w:style w:type="paragraph" w:styleId="762">
    <w:name w:val="Heading 1"/>
    <w:basedOn w:val="761"/>
    <w:next w:val="761"/>
    <w:link w:val="959"/>
    <w:qFormat/>
    <w:pPr>
      <w:jc w:val="center"/>
      <w:spacing w:before="240" w:line="144" w:lineRule="exact"/>
      <w:outlineLvl w:val="0"/>
    </w:pPr>
    <w:rPr>
      <w:b/>
      <w:sz w:val="22"/>
      <w:szCs w:val="20"/>
      <w:lang w:val="en-US"/>
    </w:rPr>
  </w:style>
  <w:style w:type="paragraph" w:styleId="763">
    <w:name w:val="Heading 2"/>
    <w:basedOn w:val="761"/>
    <w:next w:val="761"/>
    <w:link w:val="7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4">
    <w:name w:val="Heading 3"/>
    <w:basedOn w:val="761"/>
    <w:next w:val="761"/>
    <w:link w:val="960"/>
    <w:qFormat/>
    <w:pPr>
      <w:jc w:val="center"/>
      <w:keepNext/>
      <w:spacing w:before="120" w:line="144" w:lineRule="exact"/>
      <w:outlineLvl w:val="2"/>
    </w:pPr>
    <w:rPr>
      <w:b/>
      <w:szCs w:val="20"/>
    </w:rPr>
  </w:style>
  <w:style w:type="paragraph" w:styleId="765">
    <w:name w:val="Heading 4"/>
    <w:basedOn w:val="761"/>
    <w:next w:val="761"/>
    <w:link w:val="7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761"/>
    <w:next w:val="761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67">
    <w:name w:val="Heading 6"/>
    <w:basedOn w:val="761"/>
    <w:next w:val="761"/>
    <w:link w:val="7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8">
    <w:name w:val="Heading 7"/>
    <w:basedOn w:val="761"/>
    <w:next w:val="761"/>
    <w:link w:val="780"/>
    <w:qFormat/>
    <w:pPr>
      <w:jc w:val="both"/>
      <w:keepNext/>
      <w:outlineLvl w:val="6"/>
    </w:pPr>
    <w:rPr>
      <w:sz w:val="28"/>
    </w:rPr>
  </w:style>
  <w:style w:type="paragraph" w:styleId="769">
    <w:name w:val="Heading 8"/>
    <w:basedOn w:val="761"/>
    <w:next w:val="761"/>
    <w:link w:val="7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0">
    <w:name w:val="Heading 9"/>
    <w:basedOn w:val="761"/>
    <w:next w:val="761"/>
    <w:link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1" w:default="1">
    <w:name w:val="Default Paragraph Font"/>
    <w:uiPriority w:val="1"/>
    <w:semiHidden/>
    <w:unhideWhenUsed/>
  </w:style>
  <w:style w:type="table" w:styleId="7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3" w:default="1">
    <w:name w:val="No List"/>
    <w:uiPriority w:val="99"/>
    <w:semiHidden/>
    <w:unhideWhenUsed/>
  </w:style>
  <w:style w:type="character" w:styleId="77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75" w:customStyle="1">
    <w:name w:val="Заголовок 2 Знак"/>
    <w:link w:val="763"/>
    <w:uiPriority w:val="9"/>
    <w:rPr>
      <w:rFonts w:ascii="Arial" w:hAnsi="Arial" w:eastAsia="Arial" w:cs="Arial"/>
      <w:sz w:val="34"/>
    </w:rPr>
  </w:style>
  <w:style w:type="character" w:styleId="77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77" w:customStyle="1">
    <w:name w:val="Заголовок 4 Знак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778" w:customStyle="1">
    <w:name w:val="Заголовок 5 Знак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79" w:customStyle="1">
    <w:name w:val="Заголовок 6 Знак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780" w:customStyle="1">
    <w:name w:val="Заголовок 7 Знак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1" w:customStyle="1">
    <w:name w:val="Заголовок 8 Знак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782" w:customStyle="1">
    <w:name w:val="Заголовок 9 Знак"/>
    <w:link w:val="770"/>
    <w:uiPriority w:val="9"/>
    <w:rPr>
      <w:rFonts w:ascii="Arial" w:hAnsi="Arial" w:eastAsia="Arial" w:cs="Arial"/>
      <w:i/>
      <w:iCs/>
      <w:sz w:val="21"/>
      <w:szCs w:val="21"/>
    </w:rPr>
  </w:style>
  <w:style w:type="paragraph" w:styleId="783">
    <w:name w:val="List Paragraph"/>
    <w:basedOn w:val="761"/>
    <w:uiPriority w:val="34"/>
    <w:qFormat/>
    <w:pPr>
      <w:contextualSpacing/>
      <w:ind w:left="720"/>
    </w:pPr>
    <w:rPr>
      <w:rFonts w:eastAsia="Calibri"/>
      <w:lang w:eastAsia="en-US"/>
    </w:rPr>
  </w:style>
  <w:style w:type="paragraph" w:styleId="784">
    <w:name w:val="No Spacing"/>
    <w:uiPriority w:val="1"/>
    <w:qFormat/>
    <w:rPr>
      <w:sz w:val="24"/>
      <w:szCs w:val="24"/>
      <w:lang w:eastAsia="ru-RU"/>
    </w:rPr>
  </w:style>
  <w:style w:type="paragraph" w:styleId="785">
    <w:name w:val="Title"/>
    <w:basedOn w:val="761"/>
    <w:next w:val="761"/>
    <w:link w:val="7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6" w:customStyle="1">
    <w:name w:val="Заголовок Знак"/>
    <w:link w:val="785"/>
    <w:uiPriority w:val="10"/>
    <w:rPr>
      <w:sz w:val="48"/>
      <w:szCs w:val="48"/>
    </w:rPr>
  </w:style>
  <w:style w:type="paragraph" w:styleId="787">
    <w:name w:val="Subtitle"/>
    <w:basedOn w:val="761"/>
    <w:link w:val="788"/>
    <w:qFormat/>
    <w:pPr>
      <w:jc w:val="center"/>
    </w:pPr>
    <w:rPr>
      <w:b/>
      <w:sz w:val="32"/>
      <w:szCs w:val="20"/>
    </w:rPr>
  </w:style>
  <w:style w:type="character" w:styleId="788" w:customStyle="1">
    <w:name w:val="Подзаголовок Знак"/>
    <w:link w:val="787"/>
    <w:uiPriority w:val="11"/>
    <w:rPr>
      <w:sz w:val="24"/>
      <w:szCs w:val="24"/>
    </w:rPr>
  </w:style>
  <w:style w:type="paragraph" w:styleId="789">
    <w:name w:val="Quote"/>
    <w:basedOn w:val="761"/>
    <w:next w:val="761"/>
    <w:link w:val="790"/>
    <w:uiPriority w:val="29"/>
    <w:qFormat/>
    <w:pPr>
      <w:ind w:left="720" w:right="720"/>
    </w:pPr>
    <w:rPr>
      <w:i/>
    </w:rPr>
  </w:style>
  <w:style w:type="character" w:styleId="790" w:customStyle="1">
    <w:name w:val="Цитата 2 Знак"/>
    <w:link w:val="789"/>
    <w:uiPriority w:val="29"/>
    <w:rPr>
      <w:i/>
    </w:rPr>
  </w:style>
  <w:style w:type="paragraph" w:styleId="791">
    <w:name w:val="Intense Quote"/>
    <w:basedOn w:val="761"/>
    <w:next w:val="761"/>
    <w:link w:val="79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2" w:customStyle="1">
    <w:name w:val="Выделенная цитата Знак"/>
    <w:link w:val="791"/>
    <w:uiPriority w:val="30"/>
    <w:rPr>
      <w:i/>
    </w:rPr>
  </w:style>
  <w:style w:type="paragraph" w:styleId="793">
    <w:name w:val="Header"/>
    <w:basedOn w:val="761"/>
    <w:link w:val="794"/>
    <w:pPr>
      <w:tabs>
        <w:tab w:val="center" w:pos="4677" w:leader="none"/>
        <w:tab w:val="right" w:pos="9355" w:leader="none"/>
      </w:tabs>
    </w:pPr>
  </w:style>
  <w:style w:type="character" w:styleId="794" w:customStyle="1">
    <w:name w:val="Верхний колонтитул Знак"/>
    <w:link w:val="793"/>
    <w:uiPriority w:val="99"/>
  </w:style>
  <w:style w:type="paragraph" w:styleId="795">
    <w:name w:val="Footer"/>
    <w:basedOn w:val="761"/>
    <w:link w:val="956"/>
    <w:pPr>
      <w:tabs>
        <w:tab w:val="center" w:pos="4677" w:leader="none"/>
        <w:tab w:val="right" w:pos="9355" w:leader="none"/>
      </w:tabs>
    </w:pPr>
  </w:style>
  <w:style w:type="character" w:styleId="796" w:customStyle="1">
    <w:name w:val="Footer Char"/>
    <w:uiPriority w:val="99"/>
  </w:style>
  <w:style w:type="paragraph" w:styleId="797">
    <w:name w:val="Caption"/>
    <w:basedOn w:val="761"/>
    <w:next w:val="7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8" w:customStyle="1">
    <w:name w:val="Caption Char"/>
    <w:uiPriority w:val="99"/>
  </w:style>
  <w:style w:type="table" w:styleId="799">
    <w:name w:val="Table Grid"/>
    <w:basedOn w:val="772"/>
    <w:tblPr/>
  </w:style>
  <w:style w:type="table" w:styleId="80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5">
    <w:name w:val="Hyperlink"/>
    <w:uiPriority w:val="99"/>
    <w:unhideWhenUsed/>
    <w:rPr>
      <w:color w:val="0000ff" w:themeColor="hyperlink"/>
      <w:u w:val="single"/>
    </w:rPr>
  </w:style>
  <w:style w:type="paragraph" w:styleId="926">
    <w:name w:val="footnote text"/>
    <w:basedOn w:val="761"/>
    <w:link w:val="927"/>
    <w:uiPriority w:val="99"/>
    <w:semiHidden/>
    <w:unhideWhenUsed/>
    <w:pPr>
      <w:spacing w:after="40"/>
    </w:pPr>
    <w:rPr>
      <w:sz w:val="18"/>
    </w:rPr>
  </w:style>
  <w:style w:type="character" w:styleId="927" w:customStyle="1">
    <w:name w:val="Текст сноски Знак"/>
    <w:link w:val="926"/>
    <w:uiPriority w:val="99"/>
    <w:rPr>
      <w:sz w:val="18"/>
    </w:rPr>
  </w:style>
  <w:style w:type="character" w:styleId="928">
    <w:name w:val="footnote reference"/>
    <w:uiPriority w:val="99"/>
    <w:unhideWhenUsed/>
    <w:rPr>
      <w:vertAlign w:val="superscript"/>
    </w:rPr>
  </w:style>
  <w:style w:type="paragraph" w:styleId="929">
    <w:name w:val="endnote text"/>
    <w:basedOn w:val="761"/>
    <w:link w:val="930"/>
    <w:uiPriority w:val="99"/>
    <w:semiHidden/>
    <w:unhideWhenUsed/>
    <w:rPr>
      <w:sz w:val="20"/>
    </w:rPr>
  </w:style>
  <w:style w:type="character" w:styleId="930" w:customStyle="1">
    <w:name w:val="Текст концевой сноски Знак"/>
    <w:link w:val="929"/>
    <w:uiPriority w:val="99"/>
    <w:rPr>
      <w:sz w:val="20"/>
    </w:rPr>
  </w:style>
  <w:style w:type="character" w:styleId="931">
    <w:name w:val="endnote reference"/>
    <w:uiPriority w:val="99"/>
    <w:semiHidden/>
    <w:unhideWhenUsed/>
    <w:rPr>
      <w:vertAlign w:val="superscript"/>
    </w:rPr>
  </w:style>
  <w:style w:type="paragraph" w:styleId="932">
    <w:name w:val="toc 1"/>
    <w:basedOn w:val="761"/>
    <w:next w:val="761"/>
    <w:uiPriority w:val="39"/>
    <w:unhideWhenUsed/>
    <w:pPr>
      <w:spacing w:after="57"/>
    </w:pPr>
  </w:style>
  <w:style w:type="paragraph" w:styleId="933">
    <w:name w:val="toc 2"/>
    <w:basedOn w:val="761"/>
    <w:next w:val="761"/>
    <w:uiPriority w:val="39"/>
    <w:unhideWhenUsed/>
    <w:pPr>
      <w:ind w:left="283"/>
      <w:spacing w:after="57"/>
    </w:pPr>
  </w:style>
  <w:style w:type="paragraph" w:styleId="934">
    <w:name w:val="toc 3"/>
    <w:basedOn w:val="761"/>
    <w:next w:val="761"/>
    <w:uiPriority w:val="39"/>
    <w:unhideWhenUsed/>
    <w:pPr>
      <w:ind w:left="567"/>
      <w:spacing w:after="57"/>
    </w:pPr>
  </w:style>
  <w:style w:type="paragraph" w:styleId="935">
    <w:name w:val="toc 4"/>
    <w:basedOn w:val="761"/>
    <w:next w:val="761"/>
    <w:uiPriority w:val="39"/>
    <w:unhideWhenUsed/>
    <w:pPr>
      <w:ind w:left="850"/>
      <w:spacing w:after="57"/>
    </w:pPr>
  </w:style>
  <w:style w:type="paragraph" w:styleId="936">
    <w:name w:val="toc 5"/>
    <w:basedOn w:val="761"/>
    <w:next w:val="761"/>
    <w:uiPriority w:val="39"/>
    <w:unhideWhenUsed/>
    <w:pPr>
      <w:ind w:left="1134"/>
      <w:spacing w:after="57"/>
    </w:pPr>
  </w:style>
  <w:style w:type="paragraph" w:styleId="937">
    <w:name w:val="toc 6"/>
    <w:basedOn w:val="761"/>
    <w:next w:val="761"/>
    <w:uiPriority w:val="39"/>
    <w:unhideWhenUsed/>
    <w:pPr>
      <w:ind w:left="1417"/>
      <w:spacing w:after="57"/>
    </w:pPr>
  </w:style>
  <w:style w:type="paragraph" w:styleId="938">
    <w:name w:val="toc 7"/>
    <w:basedOn w:val="761"/>
    <w:next w:val="761"/>
    <w:uiPriority w:val="39"/>
    <w:unhideWhenUsed/>
    <w:pPr>
      <w:ind w:left="1701"/>
      <w:spacing w:after="57"/>
    </w:pPr>
  </w:style>
  <w:style w:type="paragraph" w:styleId="939">
    <w:name w:val="toc 8"/>
    <w:basedOn w:val="761"/>
    <w:next w:val="761"/>
    <w:uiPriority w:val="39"/>
    <w:unhideWhenUsed/>
    <w:pPr>
      <w:ind w:left="1984"/>
      <w:spacing w:after="57"/>
    </w:pPr>
  </w:style>
  <w:style w:type="paragraph" w:styleId="940">
    <w:name w:val="toc 9"/>
    <w:basedOn w:val="761"/>
    <w:next w:val="761"/>
    <w:uiPriority w:val="39"/>
    <w:unhideWhenUsed/>
    <w:pPr>
      <w:ind w:left="2268"/>
      <w:spacing w:after="57"/>
    </w:pPr>
  </w:style>
  <w:style w:type="paragraph" w:styleId="941">
    <w:name w:val="TOC Heading"/>
    <w:uiPriority w:val="39"/>
    <w:unhideWhenUsed/>
  </w:style>
  <w:style w:type="paragraph" w:styleId="942">
    <w:name w:val="table of figures"/>
    <w:basedOn w:val="761"/>
    <w:next w:val="761"/>
    <w:uiPriority w:val="99"/>
    <w:unhideWhenUsed/>
  </w:style>
  <w:style w:type="paragraph" w:styleId="943">
    <w:name w:val="Body Text 2"/>
    <w:basedOn w:val="761"/>
    <w:link w:val="954"/>
    <w:pPr>
      <w:jc w:val="both"/>
    </w:pPr>
    <w:rPr>
      <w:szCs w:val="20"/>
      <w:lang w:val="en-US" w:eastAsia="en-US"/>
    </w:rPr>
  </w:style>
  <w:style w:type="character" w:styleId="944">
    <w:name w:val="page number"/>
    <w:basedOn w:val="771"/>
  </w:style>
  <w:style w:type="paragraph" w:styleId="945">
    <w:name w:val="Balloon Text"/>
    <w:basedOn w:val="761"/>
    <w:semiHidden/>
    <w:rPr>
      <w:rFonts w:ascii="Tahoma" w:hAnsi="Tahoma" w:cs="Tahoma"/>
      <w:sz w:val="16"/>
      <w:szCs w:val="16"/>
    </w:rPr>
  </w:style>
  <w:style w:type="paragraph" w:styleId="946" w:customStyle="1">
    <w:name w:val="Знак Знак Знак Знак Знак Знак Знак Знак Знак Знак"/>
    <w:basedOn w:val="761"/>
    <w:next w:val="761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947">
    <w:name w:val="Normal (Web)"/>
    <w:basedOn w:val="761"/>
    <w:pPr>
      <w:spacing w:before="100" w:beforeAutospacing="1" w:after="100" w:afterAutospacing="1"/>
    </w:pPr>
    <w:rPr>
      <w:color w:val="00ffff"/>
    </w:rPr>
  </w:style>
  <w:style w:type="paragraph" w:styleId="948" w:customStyle="1">
    <w:name w:val="Знак Знак Знак Знак Знак Знак Знак"/>
    <w:basedOn w:val="761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character" w:styleId="949">
    <w:name w:val="annotation reference"/>
    <w:semiHidden/>
    <w:rPr>
      <w:sz w:val="16"/>
      <w:szCs w:val="16"/>
    </w:rPr>
  </w:style>
  <w:style w:type="paragraph" w:styleId="950">
    <w:name w:val="annotation text"/>
    <w:basedOn w:val="761"/>
    <w:semiHidden/>
    <w:rPr>
      <w:sz w:val="20"/>
      <w:szCs w:val="20"/>
    </w:rPr>
  </w:style>
  <w:style w:type="paragraph" w:styleId="951">
    <w:name w:val="annotation subject"/>
    <w:basedOn w:val="950"/>
    <w:next w:val="950"/>
    <w:semiHidden/>
    <w:rPr>
      <w:b/>
      <w:bCs/>
    </w:rPr>
  </w:style>
  <w:style w:type="paragraph" w:styleId="952">
    <w:name w:val="Body Text Indent"/>
    <w:basedOn w:val="761"/>
    <w:pPr>
      <w:ind w:left="283"/>
      <w:spacing w:after="120"/>
    </w:pPr>
  </w:style>
  <w:style w:type="paragraph" w:styleId="953" w:customStyle="1">
    <w:name w:val="ConsNormal"/>
    <w:pPr>
      <w:ind w:right="19772" w:firstLine="720"/>
      <w:widowControl w:val="off"/>
    </w:pPr>
    <w:rPr>
      <w:rFonts w:ascii="Arial" w:hAnsi="Arial"/>
      <w:lang w:eastAsia="ru-RU"/>
    </w:rPr>
  </w:style>
  <w:style w:type="character" w:styleId="954" w:customStyle="1">
    <w:name w:val="Основной текст 2 Знак"/>
    <w:link w:val="943"/>
    <w:rPr>
      <w:sz w:val="24"/>
    </w:rPr>
  </w:style>
  <w:style w:type="paragraph" w:styleId="955" w:customStyle="1">
    <w:name w:val="ConsPlusNormal"/>
    <w:pPr>
      <w:widowControl w:val="off"/>
    </w:pPr>
    <w:rPr>
      <w:rFonts w:ascii="Calibri" w:hAnsi="Calibri" w:cs="Calibri"/>
      <w:sz w:val="22"/>
      <w:lang w:eastAsia="ru-RU"/>
    </w:rPr>
  </w:style>
  <w:style w:type="character" w:styleId="956" w:customStyle="1">
    <w:name w:val="Нижний колонтитул Знак"/>
    <w:link w:val="795"/>
    <w:rPr>
      <w:sz w:val="24"/>
      <w:szCs w:val="24"/>
    </w:rPr>
  </w:style>
  <w:style w:type="paragraph" w:styleId="957">
    <w:name w:val="Body Text"/>
    <w:basedOn w:val="761"/>
    <w:link w:val="958"/>
    <w:pPr>
      <w:spacing w:after="120"/>
    </w:pPr>
  </w:style>
  <w:style w:type="character" w:styleId="958" w:customStyle="1">
    <w:name w:val="Основной текст Знак"/>
    <w:link w:val="957"/>
    <w:rPr>
      <w:sz w:val="24"/>
      <w:szCs w:val="24"/>
    </w:rPr>
  </w:style>
  <w:style w:type="character" w:styleId="959" w:customStyle="1">
    <w:name w:val="Заголовок 1 Знак"/>
    <w:link w:val="762"/>
    <w:rPr>
      <w:b/>
      <w:sz w:val="22"/>
      <w:lang w:val="en-US"/>
    </w:rPr>
  </w:style>
  <w:style w:type="character" w:styleId="960" w:customStyle="1">
    <w:name w:val="Заголовок 3 Знак"/>
    <w:link w:val="764"/>
    <w:rPr>
      <w:b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cbt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Miheeva</dc:creator>
  <cp:lastModifiedBy>Аноним</cp:lastModifiedBy>
  <cp:revision>4</cp:revision>
  <dcterms:created xsi:type="dcterms:W3CDTF">2026-01-19T14:29:00Z</dcterms:created>
  <dcterms:modified xsi:type="dcterms:W3CDTF">2026-01-20T04:27:17Z</dcterms:modified>
  <cp:version>1048576</cp:version>
</cp:coreProperties>
</file>